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15C" w:rsidRDefault="0002015C" w:rsidP="0002015C">
      <w:pPr>
        <w:spacing w:after="0" w:line="240" w:lineRule="auto"/>
        <w:rPr>
          <w:rFonts w:eastAsia="Times New Roman"/>
          <w:u w:val="single"/>
          <w:lang w:eastAsia="ru-RU"/>
        </w:rPr>
      </w:pPr>
      <w:r>
        <w:rPr>
          <w:rFonts w:eastAsia="Times New Roman"/>
          <w:lang w:eastAsia="ru-RU"/>
        </w:rPr>
        <w:t xml:space="preserve">5) </w:t>
      </w:r>
      <w:r>
        <w:rPr>
          <w:rFonts w:eastAsia="Times New Roman"/>
          <w:u w:val="single"/>
          <w:lang w:eastAsia="ru-RU"/>
        </w:rPr>
        <w:t xml:space="preserve">Теорема о разложении определителя по строке (столбцу). Определители </w:t>
      </w:r>
      <w:proofErr w:type="spellStart"/>
      <w:r>
        <w:rPr>
          <w:rFonts w:eastAsia="Times New Roman"/>
          <w:u w:val="single"/>
          <w:lang w:eastAsia="ru-RU"/>
        </w:rPr>
        <w:t>треугальной</w:t>
      </w:r>
      <w:proofErr w:type="spellEnd"/>
      <w:r>
        <w:rPr>
          <w:rFonts w:eastAsia="Times New Roman"/>
          <w:u w:val="single"/>
          <w:lang w:eastAsia="ru-RU"/>
        </w:rPr>
        <w:t xml:space="preserve"> и </w:t>
      </w:r>
      <w:proofErr w:type="gramStart"/>
      <w:r>
        <w:rPr>
          <w:rFonts w:eastAsia="Times New Roman"/>
          <w:u w:val="single"/>
          <w:lang w:eastAsia="ru-RU"/>
        </w:rPr>
        <w:t>диагональной</w:t>
      </w:r>
      <w:proofErr w:type="gramEnd"/>
      <w:r>
        <w:rPr>
          <w:rFonts w:eastAsia="Times New Roman"/>
          <w:u w:val="single"/>
          <w:lang w:eastAsia="ru-RU"/>
        </w:rPr>
        <w:t xml:space="preserve"> матриц.</w:t>
      </w:r>
    </w:p>
    <w:p w:rsidR="0002015C" w:rsidRDefault="0002015C" w:rsidP="0002015C">
      <w:pPr>
        <w:spacing w:after="0" w:line="240" w:lineRule="auto"/>
        <w:rPr>
          <w:rFonts w:eastAsia="Times New Roman"/>
          <w:u w:val="single"/>
          <w:lang w:eastAsia="ru-RU"/>
        </w:rPr>
      </w:pPr>
    </w:p>
    <w:p w:rsidR="0002015C" w:rsidRPr="00422B4E" w:rsidRDefault="0002015C" w:rsidP="0002015C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422B4E">
        <w:rPr>
          <w:rFonts w:eastAsia="Times New Roman"/>
          <w:lang w:eastAsia="ru-RU"/>
        </w:rPr>
        <w:t xml:space="preserve">Для матрицы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57200" cy="95250"/>
            <wp:effectExtent l="19050" t="0" r="0" b="0"/>
            <wp:docPr id="8" name="Рисунок 58" descr="n \times 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n \times n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B4E">
        <w:rPr>
          <w:rFonts w:eastAsia="Times New Roman"/>
          <w:lang w:eastAsia="ru-RU"/>
        </w:rPr>
        <w:t>определитель задаётся рекурсивно:</w:t>
      </w:r>
    </w:p>
    <w:p w:rsidR="0002015C" w:rsidRPr="00422B4E" w:rsidRDefault="0002015C" w:rsidP="0002015C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762125" cy="476250"/>
            <wp:effectExtent l="19050" t="0" r="9525" b="0"/>
            <wp:docPr id="9" name="Рисунок 59" descr="\Delta=\sum_{j=1}^n (-1)^{1+j} a_{1j}\bar M_j^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\Delta=\sum_{j=1}^n (-1)^{1+j} a_{1j}\bar M_j^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B4E">
        <w:rPr>
          <w:rFonts w:eastAsia="Times New Roman"/>
          <w:lang w:eastAsia="ru-RU"/>
        </w:rPr>
        <w:t xml:space="preserve">,    где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57175" cy="247650"/>
            <wp:effectExtent l="19050" t="0" r="9525" b="0"/>
            <wp:docPr id="10" name="Рисунок 60" descr="\bar M_j^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\bar M_j^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B4E">
        <w:rPr>
          <w:rFonts w:eastAsia="Times New Roman"/>
          <w:lang w:eastAsia="ru-RU"/>
        </w:rPr>
        <w:t xml:space="preserve">— </w:t>
      </w:r>
      <w:hyperlink r:id="rId7" w:tooltip="Дополнительный минор" w:history="1">
        <w:r w:rsidRPr="00422B4E">
          <w:rPr>
            <w:rFonts w:eastAsia="Times New Roman"/>
            <w:color w:val="0000FF"/>
            <w:u w:val="single"/>
            <w:lang w:eastAsia="ru-RU"/>
          </w:rPr>
          <w:t>дополнительный минор</w:t>
        </w:r>
      </w:hyperlink>
      <w:r w:rsidRPr="00422B4E">
        <w:rPr>
          <w:rFonts w:eastAsia="Times New Roman"/>
          <w:lang w:eastAsia="ru-RU"/>
        </w:rPr>
        <w:t xml:space="preserve"> к элементу </w:t>
      </w:r>
      <w:r w:rsidRPr="00422B4E">
        <w:rPr>
          <w:rFonts w:eastAsia="Times New Roman"/>
          <w:i/>
          <w:iCs/>
          <w:lang w:eastAsia="ru-RU"/>
        </w:rPr>
        <w:t>a</w:t>
      </w:r>
      <w:r w:rsidRPr="00422B4E">
        <w:rPr>
          <w:rFonts w:eastAsia="Times New Roman"/>
          <w:vertAlign w:val="subscript"/>
          <w:lang w:eastAsia="ru-RU"/>
        </w:rPr>
        <w:t>1</w:t>
      </w:r>
      <w:r w:rsidRPr="00422B4E">
        <w:rPr>
          <w:rFonts w:eastAsia="Times New Roman"/>
          <w:i/>
          <w:iCs/>
          <w:vertAlign w:val="subscript"/>
          <w:lang w:eastAsia="ru-RU"/>
        </w:rPr>
        <w:t>j</w:t>
      </w:r>
      <w:r w:rsidRPr="00422B4E">
        <w:rPr>
          <w:rFonts w:eastAsia="Times New Roman"/>
          <w:lang w:eastAsia="ru-RU"/>
        </w:rPr>
        <w:t xml:space="preserve">. Эта формула называется </w:t>
      </w:r>
      <w:r w:rsidRPr="00422B4E">
        <w:rPr>
          <w:rFonts w:eastAsia="Times New Roman"/>
          <w:b/>
          <w:bCs/>
          <w:lang w:eastAsia="ru-RU"/>
        </w:rPr>
        <w:t>разложением по строке</w:t>
      </w:r>
      <w:r w:rsidRPr="00422B4E">
        <w:rPr>
          <w:rFonts w:eastAsia="Times New Roman"/>
          <w:lang w:eastAsia="ru-RU"/>
        </w:rPr>
        <w:t>.</w:t>
      </w:r>
    </w:p>
    <w:p w:rsidR="0002015C" w:rsidRDefault="0002015C" w:rsidP="0002015C">
      <w:pPr>
        <w:spacing w:after="0" w:line="240" w:lineRule="auto"/>
        <w:rPr>
          <w:rFonts w:eastAsia="Times New Roman"/>
          <w:u w:val="single"/>
          <w:lang w:eastAsia="ru-RU"/>
        </w:rPr>
      </w:pPr>
    </w:p>
    <w:p w:rsidR="0002015C" w:rsidRPr="00851CB9" w:rsidRDefault="0002015C" w:rsidP="0002015C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>В частности, формула вычисления определителя матрицы</w:t>
      </w:r>
      <w:r>
        <w:rPr>
          <w:rFonts w:eastAsia="Times New Roman"/>
          <w:lang w:eastAsia="ru-RU"/>
        </w:rPr>
        <w:t xml:space="preserve"> по разложению по первой строке</w:t>
      </w:r>
      <w:r w:rsidRPr="00851CB9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09575" cy="133350"/>
            <wp:effectExtent l="19050" t="0" r="9525" b="0"/>
            <wp:docPr id="15" name="Рисунок 35" descr="3 \times 3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3 \times 3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ru-RU"/>
        </w:rPr>
        <w:t xml:space="preserve"> </w:t>
      </w:r>
      <w:r w:rsidRPr="00851CB9">
        <w:rPr>
          <w:rFonts w:eastAsia="Times New Roman"/>
          <w:lang w:eastAsia="ru-RU"/>
        </w:rPr>
        <w:t>такова:</w:t>
      </w:r>
    </w:p>
    <w:p w:rsidR="0002015C" w:rsidRPr="00851CB9" w:rsidRDefault="0002015C" w:rsidP="0002015C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5486400" cy="704850"/>
            <wp:effectExtent l="19050" t="0" r="0" b="0"/>
            <wp:docPr id="16" name="Рисунок 36" descr="\Delta = &#10;\begin{vmatrix} a_{11} &amp; a_{12} &amp; a_{13} \\ a_{21} &amp; a_{22} &amp; a_{23} \\ a_{31} &amp; a_{32} &amp; a_{33} \end{vmatrix} =&#10;a_{11}\begin{vmatrix}    a_{22} &amp; a_{23} \\  a_{32} &amp; a_{33} \end{vmatrix}-a_{12}\begin{vmatrix}    a_{21} &amp; a_{23} \\  a_{31} &amp; a_{33} \end{vmatrix}+a_{13}\begin{vmatrix}    a_{21} &amp; a_{22} \\  a_{31} &amp; a_{32} \end{vmatrix} =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\Delta = &#10;\begin{vmatrix} a_{11} &amp; a_{12} &amp; a_{13} \\ a_{21} &amp; a_{22} &amp; a_{23} \\ a_{31} &amp; a_{32} &amp; a_{33} \end{vmatrix} =&#10;a_{11}\begin{vmatrix}    a_{22} &amp; a_{23} \\  a_{32} &amp; a_{33} \end{vmatrix}-a_{12}\begin{vmatrix}    a_{21} &amp; a_{23} \\  a_{31} &amp; a_{33} \end{vmatrix}+a_{13}\begin{vmatrix}    a_{21} &amp; a_{22} \\  a_{31} &amp; a_{32} \end{vmatrix} =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15C" w:rsidRPr="0009761D" w:rsidRDefault="0002015C" w:rsidP="0002015C">
      <w:pPr>
        <w:spacing w:after="0" w:line="240" w:lineRule="auto"/>
        <w:ind w:left="720"/>
        <w:rPr>
          <w:rFonts w:eastAsia="Times New Roman"/>
          <w:vertAlign w:val="subscript"/>
          <w:lang w:val="en-US" w:eastAsia="ru-RU"/>
        </w:rPr>
      </w:pPr>
      <w:r w:rsidRPr="00851CB9">
        <w:rPr>
          <w:rFonts w:eastAsia="Times New Roman"/>
          <w:lang w:val="en-US" w:eastAsia="ru-RU"/>
        </w:rPr>
        <w:t xml:space="preserve">= 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11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22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33</w:t>
      </w:r>
      <w:r w:rsidRPr="00851CB9">
        <w:rPr>
          <w:rFonts w:eastAsia="Times New Roman"/>
          <w:lang w:val="en-US" w:eastAsia="ru-RU"/>
        </w:rPr>
        <w:t xml:space="preserve"> − 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11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23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32</w:t>
      </w:r>
      <w:r w:rsidRPr="00851CB9">
        <w:rPr>
          <w:rFonts w:eastAsia="Times New Roman"/>
          <w:lang w:val="en-US" w:eastAsia="ru-RU"/>
        </w:rPr>
        <w:t xml:space="preserve"> − 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12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21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33</w:t>
      </w:r>
      <w:r w:rsidRPr="00851CB9">
        <w:rPr>
          <w:rFonts w:eastAsia="Times New Roman"/>
          <w:lang w:val="en-US" w:eastAsia="ru-RU"/>
        </w:rPr>
        <w:t xml:space="preserve"> + 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12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23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31</w:t>
      </w:r>
      <w:r w:rsidRPr="00851CB9">
        <w:rPr>
          <w:rFonts w:eastAsia="Times New Roman"/>
          <w:lang w:val="en-US" w:eastAsia="ru-RU"/>
        </w:rPr>
        <w:t xml:space="preserve"> + 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13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21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32</w:t>
      </w:r>
      <w:r w:rsidRPr="00851CB9">
        <w:rPr>
          <w:rFonts w:eastAsia="Times New Roman"/>
          <w:lang w:val="en-US" w:eastAsia="ru-RU"/>
        </w:rPr>
        <w:t xml:space="preserve"> − 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13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22</w:t>
      </w:r>
      <w:r w:rsidRPr="00851CB9">
        <w:rPr>
          <w:rFonts w:eastAsia="Times New Roman"/>
          <w:i/>
          <w:iCs/>
          <w:lang w:val="en-US" w:eastAsia="ru-RU"/>
        </w:rPr>
        <w:t>a</w:t>
      </w:r>
      <w:r w:rsidRPr="00851CB9">
        <w:rPr>
          <w:rFonts w:eastAsia="Times New Roman"/>
          <w:vertAlign w:val="subscript"/>
          <w:lang w:val="en-US" w:eastAsia="ru-RU"/>
        </w:rPr>
        <w:t>31</w:t>
      </w:r>
    </w:p>
    <w:p w:rsidR="0002015C" w:rsidRPr="0009761D" w:rsidRDefault="0002015C" w:rsidP="0002015C">
      <w:pPr>
        <w:spacing w:after="0" w:line="240" w:lineRule="auto"/>
        <w:ind w:left="720"/>
        <w:rPr>
          <w:rFonts w:eastAsia="Times New Roman"/>
          <w:vertAlign w:val="subscript"/>
          <w:lang w:val="en-US" w:eastAsia="ru-RU"/>
        </w:rPr>
      </w:pPr>
    </w:p>
    <w:p w:rsidR="0002015C" w:rsidRPr="0009761D" w:rsidRDefault="0002015C" w:rsidP="0002015C">
      <w:pPr>
        <w:spacing w:after="0" w:line="240" w:lineRule="auto"/>
        <w:ind w:left="720"/>
        <w:rPr>
          <w:rFonts w:eastAsia="Times New Roman"/>
          <w:vertAlign w:val="subscript"/>
          <w:lang w:val="en-US" w:eastAsia="ru-RU"/>
        </w:rPr>
      </w:pPr>
    </w:p>
    <w:p w:rsidR="0002015C" w:rsidRDefault="0002015C" w:rsidP="0002015C">
      <w:pPr>
        <w:spacing w:after="0" w:line="240" w:lineRule="auto"/>
      </w:pPr>
      <w:r>
        <w:rPr>
          <w:b/>
          <w:bCs/>
        </w:rPr>
        <w:t>Треугольная матрица</w:t>
      </w:r>
      <w:r>
        <w:t xml:space="preserve"> — квадратная </w:t>
      </w:r>
      <w:hyperlink r:id="rId10" w:tooltip="Матрица (математика)" w:history="1">
        <w:r>
          <w:rPr>
            <w:rStyle w:val="a3"/>
          </w:rPr>
          <w:t>матрица</w:t>
        </w:r>
      </w:hyperlink>
      <w:r>
        <w:t>, в которой все элементы ниже или выше главной диагонали равны нулю.</w:t>
      </w:r>
    </w:p>
    <w:p w:rsidR="0002015C" w:rsidRDefault="0002015C" w:rsidP="0002015C">
      <w:pPr>
        <w:spacing w:after="0" w:line="240" w:lineRule="auto"/>
      </w:pPr>
      <w:proofErr w:type="spellStart"/>
      <w:r>
        <w:rPr>
          <w:b/>
          <w:bCs/>
        </w:rPr>
        <w:t>Верхнетреугольная</w:t>
      </w:r>
      <w:proofErr w:type="spellEnd"/>
      <w:r>
        <w:rPr>
          <w:b/>
          <w:bCs/>
        </w:rPr>
        <w:t xml:space="preserve"> матрица</w:t>
      </w:r>
      <w:r>
        <w:t xml:space="preserve"> — квадратная </w:t>
      </w:r>
      <w:hyperlink r:id="rId11" w:tooltip="Матрица (математика)" w:history="1">
        <w:r>
          <w:rPr>
            <w:rStyle w:val="a3"/>
          </w:rPr>
          <w:t>матрица</w:t>
        </w:r>
      </w:hyperlink>
      <w:r>
        <w:t>, в которой все элементы ниже главной диагонали равны нулю.</w:t>
      </w:r>
    </w:p>
    <w:p w:rsidR="0002015C" w:rsidRDefault="0002015C" w:rsidP="0002015C">
      <w:pPr>
        <w:spacing w:after="0" w:line="240" w:lineRule="auto"/>
      </w:pPr>
      <w:proofErr w:type="spellStart"/>
      <w:r>
        <w:rPr>
          <w:b/>
          <w:bCs/>
        </w:rPr>
        <w:t>Нижнетреугольная</w:t>
      </w:r>
      <w:proofErr w:type="spellEnd"/>
      <w:r>
        <w:rPr>
          <w:b/>
          <w:bCs/>
        </w:rPr>
        <w:t xml:space="preserve"> матрица</w:t>
      </w:r>
      <w:r>
        <w:t> — квадратная матрица, в которой все элементы выше главной диагонали равны нулю.</w:t>
      </w:r>
    </w:p>
    <w:p w:rsidR="0002015C" w:rsidRDefault="0002015C" w:rsidP="0002015C">
      <w:pPr>
        <w:spacing w:after="0" w:line="240" w:lineRule="auto"/>
      </w:pPr>
      <w:proofErr w:type="spellStart"/>
      <w:r>
        <w:rPr>
          <w:b/>
          <w:bCs/>
        </w:rPr>
        <w:t>Унитреугольная</w:t>
      </w:r>
      <w:proofErr w:type="spellEnd"/>
      <w:r>
        <w:rPr>
          <w:b/>
          <w:bCs/>
        </w:rPr>
        <w:t xml:space="preserve"> матрица</w:t>
      </w:r>
      <w:r>
        <w:t xml:space="preserve"> (верхняя или нижняя) — треугольная матрица, в которой все элементы на главной диагонали равны единице.</w:t>
      </w:r>
    </w:p>
    <w:p w:rsidR="0002015C" w:rsidRPr="00422B4E" w:rsidRDefault="0002015C" w:rsidP="0002015C">
      <w:pPr>
        <w:spacing w:after="0" w:line="240" w:lineRule="auto"/>
        <w:rPr>
          <w:rFonts w:eastAsia="Times New Roman"/>
          <w:lang w:eastAsia="ru-RU"/>
        </w:rPr>
      </w:pPr>
      <w:r>
        <w:t xml:space="preserve">Треугольные матрицы используются в первую очередь при решении </w:t>
      </w:r>
      <w:hyperlink r:id="rId12" w:tooltip="Система линейных алгебраических уравнений" w:history="1">
        <w:r>
          <w:rPr>
            <w:rStyle w:val="a3"/>
          </w:rPr>
          <w:t>линейных систем уравнений</w:t>
        </w:r>
      </w:hyperlink>
      <w:r>
        <w:t xml:space="preserve">, когда матрица системы </w:t>
      </w:r>
      <w:proofErr w:type="gramStart"/>
      <w:r>
        <w:t>сводится к треугольному виду используя</w:t>
      </w:r>
      <w:proofErr w:type="gramEnd"/>
      <w:r>
        <w:t xml:space="preserve"> следующую теорему: </w:t>
      </w:r>
    </w:p>
    <w:tbl>
      <w:tblPr>
        <w:tblW w:w="0" w:type="auto"/>
        <w:tblCellSpacing w:w="15" w:type="dxa"/>
        <w:tblInd w:w="9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545"/>
      </w:tblGrid>
      <w:tr w:rsidR="0002015C" w:rsidRPr="00422B4E" w:rsidTr="00997CA9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2015C" w:rsidRPr="00422B4E" w:rsidRDefault="0002015C" w:rsidP="00997CA9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422B4E">
              <w:rPr>
                <w:rFonts w:eastAsia="Times New Roman"/>
                <w:lang w:eastAsia="ru-RU"/>
              </w:rPr>
              <w:t xml:space="preserve">Любую ненулевую матрицу </w:t>
            </w: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419100" cy="161925"/>
                  <wp:effectExtent l="19050" t="0" r="0" b="0"/>
                  <wp:docPr id="17" name="Рисунок 64" descr="A_{n\times n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A_{n\times n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2B4E">
              <w:rPr>
                <w:rFonts w:eastAsia="Times New Roman"/>
                <w:lang w:eastAsia="ru-RU"/>
              </w:rPr>
              <w:t xml:space="preserve">путём </w:t>
            </w:r>
            <w:hyperlink r:id="rId14" w:tooltip="Элементарные преобразования матрицы" w:history="1">
              <w:r w:rsidRPr="00422B4E">
                <w:rPr>
                  <w:rFonts w:eastAsia="Times New Roman"/>
                  <w:color w:val="0000FF"/>
                  <w:u w:val="single"/>
                  <w:lang w:eastAsia="ru-RU"/>
                </w:rPr>
                <w:t>элементарных преобразований</w:t>
              </w:r>
            </w:hyperlink>
            <w:r w:rsidRPr="00422B4E">
              <w:rPr>
                <w:rFonts w:eastAsia="Times New Roman"/>
                <w:lang w:eastAsia="ru-RU"/>
              </w:rPr>
              <w:t xml:space="preserve"> над строками и перестановкой столбцов можно привести к треугольному виду.</w:t>
            </w:r>
          </w:p>
        </w:tc>
      </w:tr>
    </w:tbl>
    <w:p w:rsidR="0002015C" w:rsidRPr="00422B4E" w:rsidRDefault="0002015C" w:rsidP="0002015C">
      <w:pPr>
        <w:spacing w:after="0" w:line="240" w:lineRule="auto"/>
        <w:rPr>
          <w:rFonts w:eastAsia="Times New Roman"/>
          <w:vanish/>
          <w:lang w:eastAsia="ru-RU"/>
        </w:rPr>
      </w:pPr>
    </w:p>
    <w:tbl>
      <w:tblPr>
        <w:tblW w:w="0" w:type="auto"/>
        <w:tblCellSpacing w:w="15" w:type="dxa"/>
        <w:tblInd w:w="9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545"/>
      </w:tblGrid>
      <w:tr w:rsidR="0002015C" w:rsidRPr="00422B4E" w:rsidTr="00997CA9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2015C" w:rsidRPr="00422B4E" w:rsidRDefault="0002015C" w:rsidP="00997CA9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422B4E">
              <w:rPr>
                <w:rFonts w:eastAsia="Times New Roman"/>
                <w:lang w:eastAsia="ru-RU"/>
              </w:rPr>
              <w:t xml:space="preserve">Любая квадратная матрица, имеющая отличные от нуля главные миноры, представима произведением двух матриц: </w:t>
            </w:r>
            <w:proofErr w:type="spellStart"/>
            <w:r w:rsidRPr="00422B4E">
              <w:rPr>
                <w:rFonts w:eastAsia="Times New Roman"/>
                <w:lang w:eastAsia="ru-RU"/>
              </w:rPr>
              <w:t>верхнетреугольной</w:t>
            </w:r>
            <w:proofErr w:type="spellEnd"/>
            <w:r w:rsidRPr="00422B4E">
              <w:rPr>
                <w:rFonts w:eastAsia="Times New Roman"/>
                <w:lang w:eastAsia="ru-RU"/>
              </w:rPr>
              <w:t xml:space="preserve">, и </w:t>
            </w:r>
            <w:proofErr w:type="spellStart"/>
            <w:r w:rsidRPr="00422B4E">
              <w:rPr>
                <w:rFonts w:eastAsia="Times New Roman"/>
                <w:lang w:eastAsia="ru-RU"/>
              </w:rPr>
              <w:t>нижнетреугольной</w:t>
            </w:r>
            <w:proofErr w:type="spellEnd"/>
            <w:r w:rsidRPr="00422B4E">
              <w:rPr>
                <w:rFonts w:eastAsia="Times New Roman"/>
                <w:lang w:eastAsia="ru-RU"/>
              </w:rPr>
              <w:t>. Разложение единственно, если фиксированы (заранее оговорены) элементы главной диагонали одной из них.</w:t>
            </w:r>
          </w:p>
        </w:tc>
      </w:tr>
    </w:tbl>
    <w:p w:rsidR="0002015C" w:rsidRDefault="0002015C" w:rsidP="0002015C">
      <w:pPr>
        <w:spacing w:after="0" w:line="240" w:lineRule="auto"/>
        <w:rPr>
          <w:rFonts w:eastAsia="Times New Roman"/>
          <w:lang w:eastAsia="ru-RU"/>
        </w:rPr>
      </w:pPr>
    </w:p>
    <w:p w:rsidR="0002015C" w:rsidRDefault="0002015C" w:rsidP="0002015C">
      <w:pPr>
        <w:spacing w:after="0" w:line="240" w:lineRule="auto"/>
        <w:rPr>
          <w:rFonts w:eastAsia="Times New Roman"/>
          <w:lang w:eastAsia="ru-RU"/>
        </w:rPr>
      </w:pPr>
    </w:p>
    <w:p w:rsidR="0002015C" w:rsidRDefault="0002015C" w:rsidP="0002015C">
      <w:pPr>
        <w:spacing w:after="0" w:line="240" w:lineRule="auto"/>
      </w:pPr>
      <w:r>
        <w:rPr>
          <w:b/>
          <w:bCs/>
        </w:rPr>
        <w:t>Диагональная матрица</w:t>
      </w:r>
      <w:r>
        <w:t xml:space="preserve"> — квадратная </w:t>
      </w:r>
      <w:hyperlink r:id="rId15" w:tooltip="Матрица (математика)" w:history="1">
        <w:r>
          <w:rPr>
            <w:rStyle w:val="a3"/>
          </w:rPr>
          <w:t>матрица</w:t>
        </w:r>
      </w:hyperlink>
      <w:r>
        <w:t xml:space="preserve">, все недиагональные элементы которой равны нулю. Более формально, диагональной называют такую </w:t>
      </w:r>
      <w:hyperlink r:id="rId16" w:tooltip="Матрица (математика)" w:history="1">
        <w:r>
          <w:rPr>
            <w:rStyle w:val="a3"/>
          </w:rPr>
          <w:t>матрицу</w:t>
        </w:r>
      </w:hyperlink>
      <w:r>
        <w:t xml:space="preserve"> </w:t>
      </w:r>
      <w:r>
        <w:rPr>
          <w:rStyle w:val="texhtml"/>
          <w:i/>
          <w:iCs/>
        </w:rPr>
        <w:t>A</w:t>
      </w:r>
      <w:r>
        <w:t xml:space="preserve">, что </w:t>
      </w:r>
      <w:r>
        <w:rPr>
          <w:noProof/>
          <w:lang w:eastAsia="ru-RU"/>
        </w:rPr>
        <w:drawing>
          <wp:inline distT="0" distB="0" distL="0" distR="0">
            <wp:extent cx="1209675" cy="200025"/>
            <wp:effectExtent l="19050" t="0" r="9525" b="0"/>
            <wp:docPr id="18" name="Рисунок 66" descr="\forall i\neq j: a_{ij}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\forall i\neq j: a_{ij}=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02015C" w:rsidRPr="00422B4E" w:rsidRDefault="0002015C" w:rsidP="0002015C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638300" cy="923925"/>
            <wp:effectExtent l="19050" t="0" r="0" b="0"/>
            <wp:docPr id="26" name="Рисунок 68" descr="\begin{bmatrix} a_{11} &amp; 0 &amp; \cdots &amp; 0\\ &#10;                      0 &amp; a_{22} &amp; \cdots &amp; 0\\ &#10;                      \cdots &amp; \cdots &amp; \cdots &amp; \cdots \\&#10;                      0 &amp; 0 &amp;\cdots &amp; a_{nn}\end{bmatri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\begin{bmatrix} a_{11} &amp; 0 &amp; \cdots &amp; 0\\ &#10;                      0 &amp; a_{22} &amp; \cdots &amp; 0\\ &#10;                      \cdots &amp; \cdots &amp; \cdots &amp; \cdots \\&#10;                      0 &amp; 0 &amp;\cdots &amp; a_{nn}\end{bmatrix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ru-RU"/>
        </w:rPr>
        <w:t xml:space="preserve">        </w:t>
      </w:r>
      <w:r w:rsidRPr="00422B4E">
        <w:rPr>
          <w:rFonts w:eastAsia="Times New Roman"/>
          <w:lang w:eastAsia="ru-RU"/>
        </w:rPr>
        <w:t>— диагональная матрица.</w:t>
      </w:r>
    </w:p>
    <w:p w:rsidR="0002015C" w:rsidRPr="00422B4E" w:rsidRDefault="0002015C" w:rsidP="0002015C">
      <w:pPr>
        <w:spacing w:after="0" w:line="240" w:lineRule="auto"/>
        <w:rPr>
          <w:rFonts w:eastAsia="Times New Roman"/>
          <w:lang w:eastAsia="ru-RU"/>
        </w:rPr>
      </w:pP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2015C"/>
    <w:rsid w:val="0002015C"/>
    <w:rsid w:val="00594F9B"/>
    <w:rsid w:val="00B3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015C"/>
    <w:rPr>
      <w:color w:val="0000FF"/>
      <w:u w:val="single"/>
    </w:rPr>
  </w:style>
  <w:style w:type="character" w:customStyle="1" w:styleId="texhtml">
    <w:name w:val="texhtml"/>
    <w:basedOn w:val="a0"/>
    <w:rsid w:val="0002015C"/>
  </w:style>
  <w:style w:type="paragraph" w:styleId="a4">
    <w:name w:val="Balloon Text"/>
    <w:basedOn w:val="a"/>
    <w:link w:val="a5"/>
    <w:uiPriority w:val="99"/>
    <w:semiHidden/>
    <w:unhideWhenUsed/>
    <w:rsid w:val="00020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01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hyperlink" Target="http://ru.wikipedia.org/wiki/%D0%94%D0%BE%D0%BF%D0%BE%D0%BB%D0%BD%D0%B8%D1%82%D0%B5%D0%BB%D1%8C%D0%BD%D1%8B%D0%B9_%D0%BC%D0%B8%D0%BD%D0%BE%D1%80" TargetMode="External"/><Relationship Id="rId12" Type="http://schemas.openxmlformats.org/officeDocument/2006/relationships/hyperlink" Target="http://ru.wikipedia.org/wiki/%D0%A1%D0%B8%D1%81%D1%82%D0%B5%D0%BC%D0%B0_%D0%BB%D0%B8%D0%BD%D0%B5%D0%B9%D0%BD%D1%8B%D1%85_%D0%B0%D0%BB%D0%B3%D0%B5%D0%B1%D1%80%D0%B0%D0%B8%D1%87%D0%B5%D1%81%D0%BA%D0%B8%D1%85_%D1%83%D1%80%D0%B0%D0%B2%D0%BD%D0%B5%D0%BD%D0%B8%D0%B9" TargetMode="External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hyperlink" Target="http://ru.wikipedia.org/wiki/%D0%9C%D0%B0%D1%82%D1%80%D0%B8%D1%86%D0%B0_%28%D0%BC%D0%B0%D1%82%D0%B5%D0%BC%D0%B0%D1%82%D0%B8%D0%BA%D0%B0%29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ru.wikipedia.org/wiki/%D0%9C%D0%B0%D1%82%D1%80%D0%B8%D1%86%D0%B0_%28%D0%BC%D0%B0%D1%82%D0%B5%D0%BC%D0%B0%D1%82%D0%B8%D0%BA%D0%B0%29" TargetMode="External"/><Relationship Id="rId5" Type="http://schemas.openxmlformats.org/officeDocument/2006/relationships/image" Target="media/image2.png"/><Relationship Id="rId15" Type="http://schemas.openxmlformats.org/officeDocument/2006/relationships/hyperlink" Target="http://ru.wikipedia.org/wiki/%D0%9C%D0%B0%D1%82%D1%80%D0%B8%D1%86%D0%B0_%28%D0%BC%D0%B0%D1%82%D0%B5%D0%BC%D0%B0%D1%82%D0%B8%D0%BA%D0%B0%29" TargetMode="External"/><Relationship Id="rId10" Type="http://schemas.openxmlformats.org/officeDocument/2006/relationships/hyperlink" Target="http://ru.wikipedia.org/wiki/%D0%9C%D0%B0%D1%82%D1%80%D0%B8%D1%86%D0%B0_%28%D0%BC%D0%B0%D1%82%D0%B5%D0%BC%D0%B0%D1%82%D0%B8%D0%BA%D0%B0%29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hyperlink" Target="http://ru.wikipedia.org/wiki/%D0%AD%D0%BB%D0%B5%D0%BC%D0%B5%D0%BD%D1%82%D0%B0%D1%80%D0%BD%D1%8B%D0%B5_%D0%BF%D1%80%D0%B5%D0%BE%D0%B1%D1%80%D0%B0%D0%B7%D0%BE%D0%B2%D0%B0%D0%BD%D0%B8%D1%8F_%D0%BC%D0%B0%D1%82%D1%80%D0%B8%D1%86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2010-01-17T15:43:00Z</dcterms:created>
  <dcterms:modified xsi:type="dcterms:W3CDTF">2010-01-17T15:43:00Z</dcterms:modified>
</cp:coreProperties>
</file>